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  <w:tab w:val="left" w:pos="8820" w:leader="none"/>
          <w:tab w:val="right" w:pos="10205" w:leader="none"/>
        </w:tabs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7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«</w:t>
      </w:r>
      <w:r>
        <w:rPr>
          <w:rStyle w:val="UserStyle_60"/>
          <w:b/>
          <w:bCs/>
          <w:sz w:val="28"/>
          <w:szCs w:val="28"/>
        </w:rPr>
        <w:t xml:space="preserve">Инфографика</w:t>
      </w:r>
      <w:r>
        <w:rPr>
          <w:rStyle w:val="UserStyle_60"/>
          <w:b/>
          <w:bCs/>
          <w:sz w:val="28"/>
          <w:szCs w:val="28"/>
        </w:rPr>
        <w:t xml:space="preserve">»</w:t>
      </w:r>
      <w:r>
        <w:rPr>
          <w:rStyle w:val="UserStyle_60"/>
          <w:b/>
          <w:bCs/>
          <w:sz w:val="28"/>
          <w:szCs w:val="28"/>
        </w:rPr>
        <w:t xml:space="preserve">: Как воспользоваться сервисом по самообследованию земельных участков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сообщает, что на сайте Росреестра действует сервис, с помощью которого правообладатели земельных участков и землепользователи могут пройти самообследование и самостоятельно оценить соблюдение обязательных требований при использовании земельных участков.</w:t>
      </w:r>
      <w:r>
        <w:rPr>
          <w:rStyle w:val="UserStyle_60"/>
          <w:b/>
          <w:bCs/>
          <w:sz w:val="28"/>
          <w:szCs w:val="28"/>
        </w:rPr>
        <w:t xml:space="preserve"> Как работает сервис – ч</w:t>
      </w:r>
      <w:r>
        <w:rPr>
          <w:rStyle w:val="UserStyle_60"/>
          <w:b/>
          <w:bCs/>
          <w:sz w:val="28"/>
          <w:szCs w:val="28"/>
        </w:rPr>
        <w:t xml:space="preserve">итайте в информационных карточках.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</w:pPr>
      <w:r>
        <w:rPr>
          <w:rStyle w:val="UserStyle_60"/>
          <w:bCs/>
          <w:sz w:val="28"/>
          <w:szCs w:val="28"/>
        </w:rPr>
        <w:t xml:space="preserve">Воспользоваться им можно как без авторизации на сайте, перейдя на соответствующую страницу</w:t>
      </w:r>
      <w:r>
        <w:rPr>
          <w:rStyle w:val="UserStyle_60"/>
          <w:bCs/>
          <w:sz w:val="28"/>
          <w:szCs w:val="28"/>
        </w:rPr>
        <w:t xml:space="preserve"> (</w:t>
      </w:r>
      <w:r>
        <w:rPr>
          <w:rStyle w:val="UserStyle_60"/>
          <w:bCs/>
          <w:sz w:val="28"/>
          <w:szCs w:val="28"/>
        </w:rPr>
        <w:t xml:space="preserve">https://rosreestr.gov.ru/activity/gosudarstvennyy-nadzor/gosudarstvennyy-zemelnyy-kontrol-nadzor/samostoyatelnaya-otsenka-soblyudeniya-obyazatelnykh-trebovaniy/</w:t>
      </w:r>
      <w:r>
        <w:rPr>
          <w:rStyle w:val="UserStyle_60"/>
          <w:bCs/>
          <w:sz w:val="28"/>
          <w:szCs w:val="28"/>
        </w:rPr>
        <w:t xml:space="preserve">)</w:t>
      </w:r>
      <w:r>
        <w:rPr>
          <w:rStyle w:val="UserStyle_60"/>
          <w:bCs/>
          <w:sz w:val="28"/>
          <w:szCs w:val="28"/>
        </w:rPr>
        <w:t xml:space="preserve">, так и в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самообследования. Далее следует ответить на ряд предложенных вопросов об использовании земельного участка.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На некоторые вопросы, касающиеся характеристик участка, сервис предлагает подсказки на основании сведений из ЕГРН. После ответа на все вопросы будет сформирован итог обследования. В случае если сервисом нарушений не выявлено, появится сообщение о том, что нарушений нет. А в случае выявления возможного нарушения выдаются рекомендации по его устранению.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Отметим, что </w:t>
      </w:r>
      <w:r>
        <w:rPr>
          <w:rStyle w:val="UserStyle_60"/>
          <w:bCs/>
          <w:sz w:val="28"/>
          <w:szCs w:val="28"/>
        </w:rPr>
        <w:t xml:space="preserve">информация о результатах ответов на вопросы не передается сотрудникам Росреестра и не используется в рамках контроля!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1329</Characters>
  <CharactersWithSpaces>1558</CharactersWithSpaces>
  <DocSecurity>0</DocSecurity>
  <HyperlinksChanged>false</HyperlinksChanged>
  <Lines>11</Lines>
  <Pages>1</Pages>
  <Paragraphs>3</Paragraphs>
  <ScaleCrop>false</ScaleCrop>
  <SharedDoc>false</SharedDoc>
  <Template>Normal</Template>
  <Words>232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76</cp:revision>
  <dcterms:created xsi:type="dcterms:W3CDTF">2024-08-16T10:03:00Z</dcterms:created>
  <dcterms:modified xsi:type="dcterms:W3CDTF">2025-02-07T06:42:00Z</dcterms:modified>
  <cp:version>983040</cp:version>
</cp:coreProperties>
</file>